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94" w:lineRule="exact"/>
        <w:ind w:left="0" w:right="0" w:firstLine="616" w:firstLineChars="200"/>
        <w:jc w:val="both"/>
        <w:rPr>
          <w:rFonts w:hint="default" w:ascii="Times New Roman" w:hAnsi="Times New Roman" w:eastAsia="方正黑体_GBK" w:cs="方正黑体_GBK"/>
          <w:spacing w:val="4"/>
          <w:kern w:val="2"/>
          <w:sz w:val="30"/>
          <w:szCs w:val="30"/>
        </w:rPr>
      </w:pPr>
      <w:r>
        <w:rPr>
          <w:rFonts w:hint="eastAsia" w:ascii="Times New Roman" w:hAnsi="Times New Roman" w:eastAsia="方正黑体_GBK" w:cs="方正黑体_GBK"/>
          <w:spacing w:val="4"/>
          <w:kern w:val="2"/>
          <w:sz w:val="30"/>
          <w:szCs w:val="30"/>
          <w:lang w:val="en-US" w:eastAsia="zh-CN" w:bidi="ar"/>
        </w:rPr>
        <w:t>【政协提案范例】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eastAsia="方正仿宋_GBK" w:cs="宋体"/>
          <w:kern w:val="2"/>
          <w:sz w:val="30"/>
          <w:szCs w:val="30"/>
        </w:rPr>
      </w:pPr>
      <w:r>
        <w:rPr>
          <w:rFonts w:hint="default" w:ascii="Times New Roman" w:hAnsi="Times New Roman" w:eastAsia="方正仿宋_GBK" w:cs="宋体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94" w:lineRule="exact"/>
        <w:ind w:left="0" w:right="0" w:firstLine="0" w:firstLineChars="0"/>
        <w:jc w:val="center"/>
        <w:rPr>
          <w:rFonts w:hint="default" w:ascii="Times New Roman" w:hAnsi="Times New Roman" w:eastAsia="方正小标宋_GBK" w:cs="宋体"/>
          <w:spacing w:val="4"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pacing w:val="4"/>
          <w:kern w:val="2"/>
          <w:sz w:val="44"/>
          <w:szCs w:val="44"/>
          <w:lang w:val="en-US" w:eastAsia="zh-CN" w:bidi="ar"/>
        </w:rPr>
        <w:t>全国政协十三届二次会议第</w:t>
      </w:r>
      <w:r>
        <w:rPr>
          <w:rFonts w:hint="default" w:ascii="Times New Roman" w:hAnsi="Times New Roman" w:eastAsia="方正小标宋_GBK" w:cs="Times New Roman"/>
          <w:spacing w:val="4"/>
          <w:kern w:val="2"/>
          <w:sz w:val="44"/>
          <w:szCs w:val="44"/>
          <w:lang w:val="en-US" w:eastAsia="zh-CN" w:bidi="ar"/>
        </w:rPr>
        <w:t>0026</w:t>
      </w:r>
      <w:r>
        <w:rPr>
          <w:rFonts w:hint="eastAsia" w:ascii="Times New Roman" w:hAnsi="Times New Roman" w:eastAsia="方正小标宋_GBK" w:cs="方正小标宋_GBK"/>
          <w:spacing w:val="4"/>
          <w:kern w:val="2"/>
          <w:sz w:val="44"/>
          <w:szCs w:val="44"/>
          <w:lang w:val="en-US" w:eastAsia="zh-CN" w:bidi="ar"/>
        </w:rPr>
        <w:t>号提案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eastAsia="方正仿宋_GBK" w:cs="宋体"/>
          <w:kern w:val="2"/>
          <w:sz w:val="30"/>
          <w:szCs w:val="30"/>
        </w:rPr>
      </w:pPr>
      <w:r>
        <w:rPr>
          <w:rFonts w:hint="default" w:ascii="Times New Roman" w:hAnsi="Times New Roman" w:eastAsia="方正仿宋_GBK" w:cs="宋体"/>
          <w:kern w:val="2"/>
          <w:sz w:val="30"/>
          <w:szCs w:val="30"/>
          <w:lang w:val="en-US" w:eastAsia="zh-CN" w:bidi="ar"/>
        </w:rPr>
        <w:t xml:space="preserve"> 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both"/>
        <w:rPr>
          <w:rFonts w:hint="eastAsia" w:ascii="Times New Roman" w:hAnsi="Times New Roman" w:eastAsia="方正仿宋_GBK" w:cs="宋体"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"/>
        </w:rPr>
        <w:t>题</w:t>
      </w:r>
      <w:r>
        <w:rPr>
          <w:rFonts w:hint="eastAsia" w:ascii="Times New Roman" w:hAnsi="Times New Roman" w:eastAsia="方正黑体_GBK" w:cs="宋体"/>
          <w:kern w:val="2"/>
          <w:sz w:val="32"/>
          <w:szCs w:val="32"/>
          <w:lang w:val="en-US" w:eastAsia="zh-CN" w:bidi="ar"/>
        </w:rPr>
        <w:t xml:space="preserve">      </w:t>
      </w: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"/>
        </w:rPr>
        <w:t>目：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关于推进京津冀基本公共服务均等化的提案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both"/>
        <w:rPr>
          <w:rFonts w:hint="eastAsia" w:ascii="Times New Roman" w:hAnsi="Times New Roman" w:eastAsia="方正仿宋_GBK" w:cs="宋体"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eastAsia="方正黑体_GBK" w:cs="宋体"/>
          <w:kern w:val="2"/>
          <w:sz w:val="32"/>
          <w:szCs w:val="32"/>
          <w:lang w:val="en-US" w:eastAsia="zh-CN" w:bidi="ar"/>
        </w:rPr>
        <w:t xml:space="preserve">      </w:t>
      </w: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"/>
        </w:rPr>
        <w:t>办：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国家发展改革委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both"/>
        <w:rPr>
          <w:rFonts w:hint="eastAsia" w:ascii="Times New Roman" w:hAnsi="Times New Roman" w:eastAsia="方正仿宋_GBK" w:cs="宋体"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"/>
        </w:rPr>
        <w:t>会</w:t>
      </w:r>
      <w:r>
        <w:rPr>
          <w:rFonts w:hint="eastAsia" w:ascii="Times New Roman" w:hAnsi="Times New Roman" w:eastAsia="方正黑体_GBK" w:cs="宋体"/>
          <w:kern w:val="2"/>
          <w:sz w:val="32"/>
          <w:szCs w:val="32"/>
          <w:lang w:val="en-US" w:eastAsia="zh-CN" w:bidi="ar"/>
        </w:rPr>
        <w:t xml:space="preserve">      </w:t>
      </w: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"/>
        </w:rPr>
        <w:t>办：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教育部、财政部、国家卫生健康委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both"/>
        <w:rPr>
          <w:rFonts w:hint="eastAsia" w:ascii="Times New Roman" w:hAnsi="Times New Roman" w:eastAsia="方正仿宋_GBK" w:cs="宋体"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"/>
        </w:rPr>
        <w:t>提</w:t>
      </w:r>
      <w:r>
        <w:rPr>
          <w:rFonts w:hint="eastAsia" w:ascii="Times New Roman" w:hAnsi="Times New Roman" w:eastAsia="方正黑体_GBK" w:cs="宋体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"/>
        </w:rPr>
        <w:t>案</w:t>
      </w:r>
      <w:r>
        <w:rPr>
          <w:rFonts w:hint="eastAsia" w:ascii="Times New Roman" w:hAnsi="Times New Roman" w:eastAsia="方正黑体_GBK" w:cs="宋体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"/>
        </w:rPr>
        <w:t>形</w:t>
      </w:r>
      <w:r>
        <w:rPr>
          <w:rFonts w:hint="eastAsia" w:ascii="Times New Roman" w:hAnsi="Times New Roman" w:eastAsia="方正黑体_GBK" w:cs="宋体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"/>
        </w:rPr>
        <w:t>式：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党派提案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both"/>
        <w:rPr>
          <w:rFonts w:hint="eastAsia" w:ascii="Times New Roman" w:hAnsi="Times New Roman" w:eastAsia="方正仿宋_GBK" w:cs="宋体"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"/>
        </w:rPr>
        <w:t>第一提案人：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九三学社中央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both"/>
        <w:rPr>
          <w:rFonts w:hint="eastAsia" w:ascii="Times New Roman" w:hAnsi="Times New Roman" w:eastAsia="方正黑体_GBK" w:cs="宋体"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"/>
        </w:rPr>
        <w:t>内</w:t>
      </w:r>
      <w:r>
        <w:rPr>
          <w:rFonts w:hint="eastAsia" w:ascii="Times New Roman" w:hAnsi="Times New Roman" w:eastAsia="方正黑体_GBK" w:cs="宋体"/>
          <w:kern w:val="2"/>
          <w:sz w:val="32"/>
          <w:szCs w:val="32"/>
          <w:lang w:val="en-US" w:eastAsia="zh-CN" w:bidi="ar"/>
        </w:rPr>
        <w:t xml:space="preserve">      </w:t>
      </w: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"/>
        </w:rPr>
        <w:t>容：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both"/>
        <w:rPr>
          <w:rFonts w:hint="eastAsia" w:ascii="Times New Roman" w:hAnsi="Times New Roman" w:eastAsia="方正仿宋_GBK" w:cs="宋体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近年来，京津冀三地贯彻落实《京津冀协同发展规划纲要》精神，不断加强公共服务资源的共建共享，对接合作效果较为显著。但三地之间基本公共服务水平差距仍然很大，尤其是河北与京津相比明显滞后。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both"/>
        <w:rPr>
          <w:rFonts w:hint="eastAsia" w:ascii="Times New Roman" w:hAnsi="Times New Roman" w:eastAsia="方正仿宋_GBK" w:cs="宋体"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"/>
        </w:rPr>
        <w:t>一是财政投入方面。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以教育、卫生领域为例，河北省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2016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年财政用于教育、卫生领域的投入分别为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325.3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亿元、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316.4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亿元，而同期北京为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1089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亿元、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635.6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亿元，人均财政投入仅为北京的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8.6%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14.3%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both"/>
        <w:rPr>
          <w:rFonts w:hint="eastAsia" w:ascii="Times New Roman" w:hAnsi="Times New Roman" w:eastAsia="方正仿宋_GBK" w:cs="宋体"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"/>
        </w:rPr>
        <w:t>二是基本公共服务指标方面。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在保基本兜底线的基本公共服务指标中，除国家有统一标准和反映覆盖水平的指标外，其他指标差距较大。例如，河北省普通小学年生均公用经费分别比京津低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965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元、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615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元，普通初中年生均公用经费分别比京津低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865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元、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565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元。河北城乡居民基础养老金每人每月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90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元，分别比京津低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420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元、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171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元。河北农村居民最低生活保障每人每月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280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元，分别比京津低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520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元、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475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both"/>
        <w:rPr>
          <w:rFonts w:hint="eastAsia" w:ascii="Times New Roman" w:hAnsi="Times New Roman" w:eastAsia="方正仿宋_GBK" w:cs="宋体"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"/>
        </w:rPr>
        <w:t>三是优质公共服务方面。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人民群众需求度普遍较高的教育、卫生、文化等领域的优质公共服务差距明显。例如，河北省没有“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985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”工程和“双一流”工程院校（仅有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个一流学科），且仅有的一所“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211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”高校还在天津；高考本科录取率分别比京津低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12%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19%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；每千人拥有三甲医院的数量分别比京津低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73.9%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70%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both"/>
        <w:rPr>
          <w:rFonts w:hint="eastAsia" w:ascii="Times New Roman" w:hAnsi="Times New Roman" w:eastAsia="方正仿宋_GBK" w:cs="宋体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京津冀三地在基本公共服务领域存在较大差距的原因，主要有以下几点：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both"/>
        <w:rPr>
          <w:rFonts w:hint="eastAsia" w:ascii="Times New Roman" w:hAnsi="Times New Roman" w:eastAsia="方正仿宋_GBK" w:cs="宋体"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"/>
        </w:rPr>
        <w:t>一是三地经济发展不平衡。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河北经济发展水平低于京津，人均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GDP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仅为京津的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37.1%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37.2%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 xml:space="preserve">，居民人均可支配收入仅为京津的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37.4%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57.9%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，人均财政收入仅为京津的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16.7%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20%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，人均一般公共预算支出仅为京津的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28.7%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36.3%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，省内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62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个扶贫开发重点县的财政收入和人均财力更是处于较低水平。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both"/>
        <w:rPr>
          <w:rFonts w:hint="eastAsia" w:ascii="Times New Roman" w:hAnsi="Times New Roman" w:eastAsia="方正仿宋_GBK" w:cs="宋体"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"/>
        </w:rPr>
        <w:t>二是基本公共服务均等化成本高。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河北省地域面积分别是京津的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11.5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倍和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15.9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倍，城镇化率只有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53.3%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，公共服务供给分散，使得公共服务供给成本高，提升公共服务水平需要更多投入。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both"/>
        <w:rPr>
          <w:rFonts w:hint="eastAsia" w:ascii="Times New Roman" w:hAnsi="Times New Roman" w:eastAsia="方正仿宋_GBK" w:cs="宋体"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"/>
        </w:rPr>
        <w:t>三是京津“虹吸效应”明显。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京津地区居民收入水平高，拥有大量高等院校、三甲医院、文化体育设施等优质公共服务资源，对周边地区的“虹吸效应”明显，导致河北大量高层次人才向京津聚集，公共服务水平提升缺乏人才支撑。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both"/>
        <w:rPr>
          <w:rFonts w:hint="eastAsia" w:ascii="Times New Roman" w:hAnsi="Times New Roman" w:eastAsia="方正仿宋_GBK" w:cs="宋体"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"/>
        </w:rPr>
        <w:t>四是政策衔接不够。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京津冀三地的制度体系和相关政策存在较大落差，河北与京津之间、河北省内各地市之间的信息系统和标准不一，尚未建立互联互通、对接共享的信息化平台，转移过程中难以顺畅对接，区域之间要素流通不畅。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both"/>
        <w:rPr>
          <w:rFonts w:hint="eastAsia" w:ascii="Times New Roman" w:hAnsi="Times New Roman" w:eastAsia="方正仿宋_GBK" w:cs="宋体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为此，建议：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both"/>
        <w:rPr>
          <w:rFonts w:hint="eastAsia" w:ascii="Times New Roman" w:hAnsi="Times New Roman" w:eastAsia="方正仿宋_GBK" w:cs="宋体"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"/>
        </w:rPr>
        <w:t>一是规划先行，统筹协调。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以“普惠性、均等化、可持续”为原则，开展公共服务政策相关研究，尽快出台京津冀基本公共服务一体化规划，统筹规划京津冀区域内社会事业和公共服务资源、研究制定实施统一的设施配置、建设及服务标准，推进优质公共服务资源共建共享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both"/>
        <w:rPr>
          <w:rFonts w:hint="eastAsia" w:ascii="Times New Roman" w:hAnsi="Times New Roman" w:eastAsia="方正仿宋_GBK" w:cs="宋体"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"/>
        </w:rPr>
        <w:t>二是加大公共服务领域财政投入。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加大对河北财政转移支付力度，确保基本公共服务财政支出稳步增长，新增财力优先向公共服务重点区域和薄弱环节倾斜。京津采用定向援助、对口支援、对口帮扶等多种形式，支持河北省落后地区发展基本公共服务。搭建投融资平台，鼓励和支持社会投资进入公共服务领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both"/>
        <w:rPr>
          <w:rFonts w:hint="eastAsia" w:ascii="Times New Roman" w:hAnsi="Times New Roman" w:eastAsia="方正仿宋_GBK" w:cs="宋体"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"/>
        </w:rPr>
        <w:t>三是加大京津优质公共服务资源向河北转移的力度。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结合北京非首都功能转移，加强雄安新区与京津公共服务领域全方位深度合作，将京津优质教育、医疗、卫生、养老机构等优先向雄安新区及河北省其他地区转移、建立分支机构或整体搬迁。鼓励河北省与京津交界的三河、大厂、香河、固安、永清、广阳、涿州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县（市区）高标准对标京津、加强交界地区养老机构建设，协调北京养老政策外延；推动医疗机构优先纳入跨省异地就医直接结算平台，提高医保管理服务水平。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both"/>
        <w:rPr>
          <w:rFonts w:hint="eastAsia" w:ascii="Times New Roman" w:hAnsi="Times New Roman" w:eastAsia="方正仿宋_GBK" w:cs="宋体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both"/>
        <w:rPr>
          <w:rFonts w:hint="eastAsia" w:ascii="Times New Roman" w:hAnsi="Times New Roman" w:eastAsia="方正仿宋_GBK" w:cs="宋体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备注：提案范例选自《把握人民的意愿—政协第十三届全国委员会提案及办理复文选》（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2019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年卷，中国文史出版社）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/>
          <w:lang w:val="en-US" w:eastAsia="zh-CN"/>
        </w:rPr>
      </w:pPr>
    </w:p>
    <w:p/>
    <w:sectPr>
      <w:pgSz w:w="11906" w:h="16838"/>
      <w:pgMar w:top="2098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746C62CE-ADAB-4999-80F2-24C4F559BC3C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3FE33D7-A2F5-4602-B09D-0CB8DD6237D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24F217B-272C-4895-B6AF-60F6762C0DB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5656657-CF78-4F6A-B166-2428E57148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ODZkODM3ODc2ZjUyZGMyZjdhNDBkZWNmZTdmZmQifQ=="/>
  </w:docVars>
  <w:rsids>
    <w:rsidRoot w:val="12AE4004"/>
    <w:rsid w:val="12AE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qFormat/>
    <w:uiPriority w:val="0"/>
    <w:pPr>
      <w:spacing w:line="560" w:lineRule="exact"/>
      <w:ind w:firstLine="7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2023-06-05T10:27:00Z</dcterms:created>
  <dc:creator>椰菠味薯片</dc:creator>
  <cp:lastModifiedBy>椰菠味薯片</cp:lastModifiedBy>
  <dcterms:modified xsi:type="dcterms:W3CDTF">2023-06-05T10:49:51Z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757293DBD59C489F85BB5A513C814FB6_11</vt:lpwstr>
  </property>
</Properties>
</file>